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8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9886"/>
      </w:tblGrid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поставщика поступили и оприходованы запасы. 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счете-фактуре значится (в тенге):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70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17"/>
              <w:gridCol w:w="1133"/>
            </w:tblGrid>
            <w:tr w:rsidR="004104DB"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Запасы по покупным ценам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800000</w:t>
                  </w:r>
                </w:p>
              </w:tc>
            </w:tr>
            <w:tr w:rsidR="004104DB"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НДС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96000</w:t>
                  </w:r>
                </w:p>
              </w:tc>
            </w:tr>
            <w:tr w:rsidR="004104DB"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Style w:val="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3000</w:t>
                  </w:r>
                </w:p>
              </w:tc>
            </w:tr>
            <w:tr w:rsidR="004104DB"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Транспортно-заготовительные расходы, </w:t>
                  </w:r>
                </w:p>
                <w:p w:rsidR="004104DB" w:rsidRDefault="004104DB">
                  <w:pPr>
                    <w:spacing w:after="0" w:line="240" w:lineRule="auto"/>
                    <w:rPr>
                      <w:rStyle w:val="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оплаченные поставщиком за счет покупателя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2000</w:t>
                  </w:r>
                </w:p>
              </w:tc>
            </w:tr>
            <w:tr w:rsidR="004104DB">
              <w:tc>
                <w:tcPr>
                  <w:tcW w:w="5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Style w:val="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Итого к оплате                                                          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901000</w:t>
                  </w:r>
                </w:p>
              </w:tc>
            </w:tr>
          </w:tbl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Сумма платежного требования-поручения поставщика оплачена.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Сделайте соответствующие записи на счетах бухгалтерского учета по данной операции.    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rPr>
          <w:trHeight w:val="4137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бухгалтерскую проводку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8820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485"/>
              <w:gridCol w:w="5500"/>
              <w:gridCol w:w="1417"/>
              <w:gridCol w:w="1418"/>
            </w:tblGrid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Содержание операции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Дебет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Кредит</w:t>
                  </w: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Style w:val="2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Поступление платежей наличными от покупателей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29"/>
                      <w:rFonts w:ascii="Times New Roman" w:hAnsi="Times New Roman" w:cs="Times New Roman"/>
                      <w:sz w:val="24"/>
                      <w:szCs w:val="24"/>
                    </w:rPr>
                    <w:t>Выданы наличные деньги в подотчет на служебные командировки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45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Выдана из кассы заработная плата работникам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9"/>
                      <w:rFonts w:ascii="Times New Roman" w:hAnsi="Times New Roman" w:cs="Times New Roman"/>
                      <w:sz w:val="24"/>
                      <w:szCs w:val="24"/>
                    </w:rPr>
                    <w:t>Зачисление наличных денег</w:t>
                  </w:r>
                  <w:r>
                    <w:rPr>
                      <w:rStyle w:val="9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,</w:t>
                  </w:r>
                  <w:r>
                    <w:rPr>
                      <w:rStyle w:val="9"/>
                      <w:rFonts w:ascii="Times New Roman" w:hAnsi="Times New Roman" w:cs="Times New Roman"/>
                      <w:sz w:val="24"/>
                      <w:szCs w:val="24"/>
                    </w:rPr>
                    <w:t xml:space="preserve"> сданных из кассы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Оплачены счета поставщиков за приобретенные ТМЗ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5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Перечислено в бюджет:</w:t>
                  </w:r>
                </w:p>
                <w:p w:rsidR="004104DB" w:rsidRDefault="004104DB" w:rsidP="00F8545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7" w:hanging="284"/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подоходный налог с юридических лиц</w:t>
                  </w:r>
                </w:p>
                <w:p w:rsidR="004104DB" w:rsidRDefault="004104DB" w:rsidP="00F85458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67" w:hanging="284"/>
                  </w:pPr>
                  <w:r>
                    <w:rPr>
                      <w:rStyle w:val="11"/>
                      <w:rFonts w:ascii="Times New Roman" w:eastAsia="Arial" w:hAnsi="Times New Roman" w:cs="Times New Roman"/>
                      <w:sz w:val="24"/>
                      <w:szCs w:val="24"/>
                      <w:lang w:val="kk-KZ"/>
                    </w:rPr>
                    <w:t>налог на добавленную стоимость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бухгалтерскую проводку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bottomFromText="160" w:vertAnchor="text" w:horzAnchor="margin" w:tblpY="-96"/>
              <w:tblOverlap w:val="never"/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5479"/>
              <w:gridCol w:w="1275"/>
              <w:gridCol w:w="1276"/>
            </w:tblGrid>
            <w:tr w:rsidR="004104DB">
              <w:trPr>
                <w:trHeight w:val="407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Содержание операции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Дебет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Кредит</w:t>
                  </w:r>
                </w:p>
              </w:tc>
            </w:tr>
            <w:tr w:rsidR="004104DB">
              <w:trPr>
                <w:trHeight w:val="131"/>
              </w:trPr>
              <w:tc>
                <w:tcPr>
                  <w:tcW w:w="86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  <w:t xml:space="preserve">  1      </w:t>
                  </w: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 xml:space="preserve">Приобретение нематериальных активов (кроме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гудвилла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):</w:t>
                  </w:r>
                </w:p>
              </w:tc>
            </w:tr>
            <w:tr w:rsidR="004104DB">
              <w:trPr>
                <w:trHeight w:val="840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1.1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в счет выданных подотчетных сумм: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покупную стоимость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сумму НДС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</w:tr>
            <w:tr w:rsidR="004104DB">
              <w:trPr>
                <w:trHeight w:val="1080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1.2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у дочерних, ассоциированных и совместных организаций: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покупную стоимость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сумму НДС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rPr>
                <w:trHeight w:val="821"/>
              </w:trPr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у физических лиц и организаций: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покупную стоимость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- на сумму НДС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 xml:space="preserve">Безвозмездное поступление нематериальных активов (кроме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гудвилла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) от физических лиц и организаций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 xml:space="preserve">Получение нематериальных активов (кроме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гудвилла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) в качестве вклада в уставный капитал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4104DB" w:rsidTr="004104DB">
        <w:trPr>
          <w:trHeight w:val="3533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бухгалтерскую проводку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8775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5532"/>
              <w:gridCol w:w="1277"/>
              <w:gridCol w:w="1398"/>
            </w:tblGrid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Содержание операции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Дебет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Кредит</w:t>
                  </w: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Style w:val="27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Выдан аванс поставщику товаров( работ, услуг)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29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Списание кредиторской задолженности поставщика за счет ранее полученного аванса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45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Возврат неиспользованного аванса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Style w:val="9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Отражены документально подтвержденные затраты по принятым к оплате счетам подрядчиков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Отнесен НДС в зачет на основании счета-фактуры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Оплачены услуги подрядной организации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B" w:rsidTr="004104DB">
        <w:trPr>
          <w:trHeight w:val="5227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 бухгалтерскую проводку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8775" w:type="dxa"/>
              <w:tblInd w:w="0" w:type="dxa"/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5532"/>
              <w:gridCol w:w="1277"/>
              <w:gridCol w:w="1398"/>
            </w:tblGrid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Содержание операции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Дебет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position w:val="6"/>
                      <w:sz w:val="24"/>
                      <w:szCs w:val="24"/>
                    </w:rPr>
                    <w:t>Кредит</w:t>
                  </w: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  <w:lang w:val="kk-KZ"/>
                    </w:rPr>
                    <w:t>Отражены затраты по приобретению запасов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Приняты к оплате счета поставщиков за выполненные работы и оказанные услуги по незавершенному строительству, относимые на стоимость незавершенного строительства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Оплата расходов по реализации, общих и административных расходов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Штрафы, пени и неустойки, подлежащие уплате по хозяйственным договорам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Возврат запасов, не соответствующих условиям поставки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4104DB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Списание невостребованной суммы кредиторской задолженности, в том числе по истечении срока исковой давности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договоре на банковское обслуживание предусмотрен минимальный, не уменьшаемый остаток денежных средств на текущем банковском счете в сумме 70 000 тенге. По выписке банка, по лицевому счету клиента остаток денег на текущем банковском счете на конец отчетного периода составляет 1 250 000 тенге.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4104DB" w:rsidRDefault="004104DB" w:rsidP="00F854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отразить в бухгалтерском балансе этот остаток на конец отчетного периода.</w:t>
            </w:r>
          </w:p>
          <w:p w:rsidR="004104DB" w:rsidRDefault="004104DB" w:rsidP="00F854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используемые счета, их наименование и сумму сальдо на конец периода.</w:t>
            </w:r>
          </w:p>
          <w:p w:rsidR="004104DB" w:rsidRDefault="004104DB" w:rsidP="004104DB">
            <w:pPr>
              <w:pStyle w:val="a3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4DB" w:rsidRDefault="004104DB" w:rsidP="004104DB">
            <w:pPr>
              <w:pStyle w:val="a3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pStyle w:val="WW-"/>
              <w:spacing w:before="0" w:after="0"/>
              <w:rPr>
                <w:szCs w:val="24"/>
              </w:rPr>
            </w:pPr>
            <w:r>
              <w:rPr>
                <w:szCs w:val="24"/>
              </w:rPr>
              <w:t>В результате проведения инвентаризации в сличительной ведомости выявились расхождения фактического наличия с данными бухгалтерского учета.</w:t>
            </w:r>
          </w:p>
          <w:p w:rsidR="004104DB" w:rsidRDefault="004104DB">
            <w:pPr>
              <w:pStyle w:val="WW-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Выявилась недостача сумок в количестве 28 штук на сумму 15600 </w:t>
            </w:r>
            <w:proofErr w:type="spellStart"/>
            <w:r>
              <w:rPr>
                <w:szCs w:val="24"/>
              </w:rPr>
              <w:t>тг</w:t>
            </w:r>
            <w:proofErr w:type="spellEnd"/>
            <w:r>
              <w:rPr>
                <w:szCs w:val="24"/>
              </w:rPr>
              <w:t>. Недостача удержана с зарплаты материально ответственного лица.</w:t>
            </w:r>
          </w:p>
          <w:p w:rsidR="004104DB" w:rsidRDefault="004104DB">
            <w:pPr>
              <w:pStyle w:val="WW-"/>
              <w:spacing w:before="0" w:after="0"/>
              <w:rPr>
                <w:szCs w:val="24"/>
              </w:rPr>
            </w:pPr>
            <w:r>
              <w:rPr>
                <w:szCs w:val="24"/>
                <w:lang w:val="kk-KZ"/>
              </w:rPr>
              <w:t>Необходимо з</w:t>
            </w:r>
            <w:proofErr w:type="spellStart"/>
            <w:r>
              <w:rPr>
                <w:szCs w:val="24"/>
              </w:rPr>
              <w:t>аписать</w:t>
            </w:r>
            <w:proofErr w:type="spellEnd"/>
            <w:r>
              <w:rPr>
                <w:szCs w:val="24"/>
              </w:rPr>
              <w:t xml:space="preserve"> бухгалтерские проводки по вышеуказанным операциям. </w:t>
            </w:r>
          </w:p>
          <w:p w:rsidR="004104DB" w:rsidRDefault="004104DB">
            <w:pPr>
              <w:pStyle w:val="WW-"/>
              <w:spacing w:before="0" w:after="0"/>
              <w:rPr>
                <w:rStyle w:val="FontStyle11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pStyle w:val="WW-"/>
              <w:spacing w:before="0" w:after="0"/>
              <w:rPr>
                <w:szCs w:val="24"/>
              </w:rPr>
            </w:pPr>
            <w:r>
              <w:rPr>
                <w:szCs w:val="24"/>
              </w:rPr>
              <w:t>Компания выплачивает продавцам комиссионные в размере 8 % выручки, полученной от реализации товаров в розницу. В  августе месяце розничная выручка составила 1020000 тенге. Комиссионные начисляются и оплачиваются в следующем месяце.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начисление заработной платы продавца. Отразить операции по начислению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Определить стоимость остатков нереализованных запасов методом ФИФО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104DB" w:rsidRDefault="004104DB">
            <w:pPr>
              <w:tabs>
                <w:tab w:val="num" w:pos="540"/>
              </w:tabs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Дата               Кол-во          Цена        Сумма (тенге)</w:t>
            </w:r>
          </w:p>
          <w:p w:rsidR="004104DB" w:rsidRDefault="004104DB">
            <w:pPr>
              <w:tabs>
                <w:tab w:val="num" w:pos="54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01.01                  800              200              160 000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08.01                2200              210              462 000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15.01                4000              220              880 000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23.01                3000              240              720 000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 поступило:        10000                               2 222 000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Остаток:           1000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Определить стоимость остатков нереализованных запасов методом средневзвешенной стоимости:        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Дата               Кол-во          Цена        Сумма (тенге)</w:t>
            </w:r>
          </w:p>
          <w:p w:rsidR="004104DB" w:rsidRDefault="004104DB">
            <w:pPr>
              <w:tabs>
                <w:tab w:val="num" w:pos="540"/>
              </w:tabs>
              <w:spacing w:after="0" w:line="240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01.01                  800              200              160 000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08.01                2200              210              462 000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15.01                4000              220              880 000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23.01                3000              240              720 000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Итого поступило:        10000                               2 222 000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Остаток:           1000 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красителя на складе предприятия (ткацкая фабрика) на начало месяца составлял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упаковок по цене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тенге за единицу, всего на сумму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тенге.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месяц на склад предприятия поступило следующее количество красителя: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упаковок по цене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тенге, на общую сумму </w:t>
            </w:r>
            <w:r w:rsidRPr="00410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тенге;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упаковок по цене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тенге, на сумму </w:t>
            </w:r>
            <w:r w:rsidRPr="004104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84 000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тенге.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отпущено в производство 110 упаковок красителя.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Рассчитать методом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средневзвешенной стоимости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себестоимость упаковки красителя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красителя, израсходованного на производство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материала на складе (краски) на начало отчетного периода (месяца) составлял 50 банок по цене 700 тенге за единицу, всего на сумму 35 000 тенге.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месяц на склад предприятия поступило следующее количество краски: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банок по цене 800 тенге, на сумму 80 000 тенге;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банок по цене 1 000 тенге, на сумму 20 000 тенге.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отпущено в производство </w:t>
            </w:r>
            <w:r w:rsidRPr="004104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банок краски.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Определить методом ФИФО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производство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материалов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остатка на складе на конец месяца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Консалтинговая фирма для своих производственных целей (оказание консультационных услуг) в качестве материалов применяет различные канцелярские принадлежности, основную часть которых занимают расходы по приобретению бумаги.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 на складе организации числилось 10 пачек бумаги (формата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стоимостью 60 тенге каждая. За отчетный период (месяц) было приобретено еще 100 пачек бумаги. Из них 80 пачек формата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по 70 тенге, а 20 пачек формата А3 — по 85 тенге.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месяц было выдано сотрудникам (в отделы) 90 пачек бумаги (80 пачек — формата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10 пачек — формата А3).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своей учетной политикой ведет учет списания материалов в производство по методу специфической идентификации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рассчитать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бумаг со склада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сделать в бухгалтерском учете соответствующие записи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B" w:rsidTr="004104DB">
        <w:trPr>
          <w:trHeight w:val="3817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роизведите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ТМЗ методом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если имеются следующие данные:</w:t>
            </w:r>
          </w:p>
          <w:tbl>
            <w:tblPr>
              <w:tblW w:w="7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28"/>
              <w:gridCol w:w="1499"/>
              <w:gridCol w:w="996"/>
              <w:gridCol w:w="1132"/>
            </w:tblGrid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Остаток на начало месяца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Поступление: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партия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1 000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21 000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28 800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34 000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28 000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приход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с остатком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Остаток на конец месяца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B" w:rsidTr="004104DB">
        <w:trPr>
          <w:trHeight w:val="4097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роизведите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ТМЗ методом средневзвешенной стоимости, если имеются следующие данные:</w:t>
            </w:r>
          </w:p>
          <w:tbl>
            <w:tblPr>
              <w:tblW w:w="7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28"/>
              <w:gridCol w:w="1499"/>
              <w:gridCol w:w="996"/>
              <w:gridCol w:w="1132"/>
            </w:tblGrid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Остаток на начало месяца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70 000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Поступление: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партия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партия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1 000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21 000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28 800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34 000</w:t>
                  </w:r>
                </w:p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28 000</w:t>
                  </w: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приход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 с остатком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Остаток на конец месяца</w:t>
                  </w:r>
                </w:p>
              </w:tc>
              <w:tc>
                <w:tcPr>
                  <w:tcW w:w="1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приобрел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стоимостью 200 000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комиссией определена предполагаемая ликвидационная стоимость в размере 20 000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срок эксплуатации оборудования по технической документации определен в 10 лет.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Расчитать е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амортизации по методу равномерного списания стоимости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приобрел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 (станок прессовый) стоимостью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комиссией определена предполагаемая ликвидационная стоимость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срок эксплуатации оборудования по технической документации определен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годовую норму амортизации и размер амортизационных отчислений по годам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уменьшающегося остатка.</w:t>
            </w:r>
          </w:p>
          <w:p w:rsidR="004104DB" w:rsidRDefault="004104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Копировальная установка согласно техническому паспорту способна отпечатать 500 000 копий или проработать 10 000 часов. Первоначальная стоимость установки – 12 000 тенге, ликвидационная – 1 000 тенге. В течение отчетного года на копировальной установке было отпечатано 110 000 копий, а время работы установки за этот же период составило 1 900 часов. Определить сумму амортизационных отчислений за отчетный год в каждом случае.</w:t>
            </w:r>
          </w:p>
          <w:p w:rsidR="004104DB" w:rsidRDefault="004104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Рассчитать сумму амортизации за первые два год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основного средства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производственным методом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известно, что в первый год произведено на этом станке 9000 единиц продукции, во второй – 12000 единиц продукции. Первоначальная стоимость – 950 000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Ликвидационная стоимость – 50 000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Срок эксплуатации – 5 лет. Производственный ресурс станка составляет 100 000 единиц продукции.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left="-108"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ежегодную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сумму амортизации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основного средства 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авномерны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списания стоимости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известно, что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ервоначальная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950 000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 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иквидационная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50 000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Срок эксплуатации – 5 лет.</w:t>
            </w:r>
          </w:p>
          <w:p w:rsidR="004104DB" w:rsidRDefault="004104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Первоначальная стоимость дизельной установки – 190 000 тенге,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ликвидационная – 10 000 тенге.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 Предполагаемый срок службы дизельной установки – 5 лет.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Расчитать сумму ежегодных амортизационных кумулятивным методом списания стоимости.</w:t>
            </w:r>
          </w:p>
          <w:p w:rsidR="004104DB" w:rsidRDefault="004104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Первоначальная стоимость дизельной установки – 190 000 тенге,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ликвидационная – 10 000 тенге.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 Предполагаемый срок службы дизельной установки – 5 лет.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Расчитать сумму ежегодных амортизационных отчислений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уменьшающег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104DB" w:rsidRDefault="004104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Первоначальная стоимость станка – 950 000 тенге,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ликвидационная – 50 000 тенге.</w:t>
            </w:r>
            <w:r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  <w:t xml:space="preserve"> Предполагаемый срок службы станка – 5 лет.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Расчитать сумму ежегодных амортизационных отчислений методом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уменьшающег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балансе предприятия  имеется оборудование с балансовой стоимостью 413 000 тенге и накопленным износом 177 000 тенге. Предприятие решило: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продать это оборудование за 413 000 тенге;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продать это оборудование за 450 000 тенге;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продать это оборудование за 400 000 тенге;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 з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аписать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бухгалтерские проводки, которыми отображаются вышеперечисленные хозяйственные операции. В проводках указать суммы операций.</w:t>
            </w:r>
          </w:p>
          <w:p w:rsidR="004104DB" w:rsidRDefault="004104D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pacing w:val="4"/>
                <w:sz w:val="24"/>
                <w:szCs w:val="24"/>
                <w:lang w:val="kk-KZ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 компания объявила о выплате дивидендов за прошлый год на сумму 550 000 тенге. Выплата объявлена  на 25 марта текущего года и была осуществлена в объявленный срок.</w:t>
            </w:r>
          </w:p>
          <w:p w:rsidR="004104DB" w:rsidRDefault="00410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 Отразить операцию на дату объявления дивидендов</w:t>
            </w:r>
          </w:p>
          <w:p w:rsidR="004104DB" w:rsidRDefault="004104DB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 Отразить операцию на момент выплаты дивидендов</w:t>
            </w:r>
          </w:p>
          <w:p w:rsidR="004104DB" w:rsidRDefault="004104DB">
            <w:pPr>
              <w:spacing w:after="0" w:line="240" w:lineRule="auto"/>
              <w:ind w:firstLine="34"/>
              <w:jc w:val="both"/>
              <w:rPr>
                <w:rStyle w:val="FontStyle11"/>
                <w:sz w:val="24"/>
                <w:szCs w:val="24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Составьте расчет заработной платы секретаря  Михайловой К. Она отработала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феврале  при 21 рабочих днях фактически 18 дня. Оклад бухгалтера составляет 102000 тенге.</w:t>
            </w:r>
          </w:p>
          <w:p w:rsidR="004104DB" w:rsidRDefault="004104DB">
            <w:pPr>
              <w:pStyle w:val="Style3"/>
              <w:suppressAutoHyphens/>
              <w:spacing w:line="240" w:lineRule="auto"/>
              <w:ind w:firstLine="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Отразите на счетах бухгалтерского учета операции по начислению, удержанию и выдаче заработной платы.</w:t>
            </w:r>
          </w:p>
          <w:p w:rsidR="004104DB" w:rsidRDefault="004104DB">
            <w:pPr>
              <w:pStyle w:val="Style3"/>
              <w:suppressAutoHyphens/>
              <w:spacing w:line="240" w:lineRule="auto"/>
              <w:ind w:firstLine="0"/>
              <w:jc w:val="both"/>
              <w:rPr>
                <w:rStyle w:val="FontStyle11"/>
                <w:color w:val="000000"/>
                <w:lang w:val="ru-RU"/>
              </w:rPr>
            </w:pPr>
          </w:p>
        </w:tc>
      </w:tr>
      <w:tr w:rsidR="004104DB" w:rsidTr="004104DB"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9356" w:type="dxa"/>
            <w:hideMark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Сделайте расчет заработной платы при сдельной форме оплаты труда и сдельно-премиальной форме оплаты труда. Иванов К.К. изготовил 500 изделий. Расценка за единицу изделия – 550 тенге.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порядка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на предприятии, премия начислена в размере 25%. </w:t>
            </w:r>
          </w:p>
          <w:p w:rsidR="004104DB" w:rsidRDefault="004104DB">
            <w:pPr>
              <w:pStyle w:val="Style1"/>
              <w:suppressAutoHyphens/>
              <w:jc w:val="both"/>
              <w:rPr>
                <w:rStyle w:val="FontStyle11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Отразите на счетах бухгалтерского учета операции по начислению, удержанию и выдаче заработной платы.</w:t>
            </w:r>
          </w:p>
        </w:tc>
      </w:tr>
      <w:tr w:rsidR="004104DB" w:rsidTr="004104DB">
        <w:trPr>
          <w:trHeight w:val="2966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9356" w:type="dxa"/>
          </w:tcPr>
          <w:p w:rsidR="004104DB" w:rsidRDefault="004104DB" w:rsidP="00F85458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себестоимость единицы продукции основного и вспомогательного произво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 условии, что выпущено 70 единиц продукции основного производства и 50 единиц продукции вспомогательного производства.</w:t>
            </w:r>
          </w:p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6"/>
              <w:gridCol w:w="4534"/>
              <w:gridCol w:w="1417"/>
              <w:gridCol w:w="1487"/>
              <w:gridCol w:w="1026"/>
            </w:tblGrid>
            <w:tr w:rsidR="004104DB">
              <w:trPr>
                <w:trHeight w:val="34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45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2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Корреспондирующие счета</w:t>
                  </w:r>
                </w:p>
              </w:tc>
            </w:tr>
            <w:tr w:rsidR="004104DB" w:rsidTr="004104DB">
              <w:trPr>
                <w:trHeight w:val="403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5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Дт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Кт</w:t>
                  </w:r>
                  <w:proofErr w:type="spellEnd"/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Отпущены материалы в цех основного производства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360 000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Отпущено топливо в цех вспомогательного производства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20 000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Начислена зарплата рабочим основного производства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1 300 000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4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Начислена зар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плата рабочим вспомогательного производства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850 000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</w:t>
                  </w:r>
                </w:p>
                <w:p w:rsidR="004104DB" w:rsidRDefault="004104DB" w:rsidP="00F85458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налог </w:t>
                  </w:r>
                </w:p>
                <w:p w:rsidR="004104DB" w:rsidRDefault="004104DB" w:rsidP="00F85458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отчисления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Начислен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по вспомогатель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у </w:t>
                  </w:r>
                </w:p>
                <w:p w:rsidR="004104DB" w:rsidRDefault="004104DB" w:rsidP="00F85458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социальный налог </w:t>
                  </w:r>
                </w:p>
                <w:p w:rsidR="004104DB" w:rsidRDefault="004104DB" w:rsidP="00F85458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отчисления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B" w:rsidTr="004104DB">
        <w:trPr>
          <w:trHeight w:val="6792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9356" w:type="dxa"/>
          </w:tcPr>
          <w:p w:rsidR="004104DB" w:rsidRDefault="004104DB">
            <w:p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налоговом счете-фактуре за реализованную продукцию покупателю проставлена сумма 200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 тенге,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НДС 12 %. Фактическая себестоимость реализованной продукции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175000 тенге.</w:t>
            </w:r>
          </w:p>
          <w:p w:rsidR="004104DB" w:rsidRDefault="004104DB">
            <w:p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Требуется составить бухгалтерские проводки по следующим операциям и проставить соответствующие суммы:</w:t>
            </w:r>
          </w:p>
          <w:p w:rsidR="004104DB" w:rsidRDefault="004104DB">
            <w:pPr>
              <w:shd w:val="clear" w:color="auto" w:fill="FFFFFF"/>
              <w:tabs>
                <w:tab w:val="left" w:pos="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4818"/>
              <w:gridCol w:w="1134"/>
              <w:gridCol w:w="1487"/>
              <w:gridCol w:w="1026"/>
            </w:tblGrid>
            <w:tr w:rsidR="004104DB">
              <w:trPr>
                <w:trHeight w:val="34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2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Корреспондирующие счета</w:t>
                  </w:r>
                </w:p>
              </w:tc>
            </w:tr>
            <w:tr w:rsidR="004104DB">
              <w:trPr>
                <w:trHeight w:val="195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Дт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Кт</w:t>
                  </w:r>
                  <w:proofErr w:type="spellEnd"/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Отразить стоимость реализованной продукции покупателю (без НДС)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Отразить НДС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(12%)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Списывается себестоимость реализованной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Поступила на расчетный счет выручка от реализации продукции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Списывается доход от реализации продукции на счет прибыли (убыток)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Списывается расход от реализации продукции на счет прибыли (убыток)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Определить финансовый результат от реализации продукции.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04DB" w:rsidRDefault="004104D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4DB" w:rsidTr="004104DB">
        <w:trPr>
          <w:trHeight w:val="4253"/>
        </w:trPr>
        <w:tc>
          <w:tcPr>
            <w:tcW w:w="567" w:type="dxa"/>
            <w:hideMark/>
          </w:tcPr>
          <w:p w:rsidR="004104DB" w:rsidRPr="004104DB" w:rsidRDefault="004104DB">
            <w:pPr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4104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9356" w:type="dxa"/>
          </w:tcPr>
          <w:p w:rsidR="004104DB" w:rsidRDefault="004104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корреспонденцию счетов:</w:t>
            </w:r>
          </w:p>
          <w:p w:rsidR="004104DB" w:rsidRDefault="004104DB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Получено в кассу предприятия от покупателей за реализованную продукцию 47648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тенге;</w:t>
            </w:r>
          </w:p>
          <w:p w:rsidR="004104DB" w:rsidRDefault="004104DB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Выдано из кассы подотчетному лицу на командировочные расходы 17650 тенге;</w:t>
            </w:r>
          </w:p>
          <w:p w:rsidR="004104DB" w:rsidRDefault="004104DB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Получено в кассу с расчетного счета для выплаты заработной платы работникам предприятия 35000 тенге;</w:t>
            </w:r>
          </w:p>
          <w:p w:rsidR="004104DB" w:rsidRDefault="004104DB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Выдана из кассы заработная плата работникам предприятия в размере 35000 тенге;</w:t>
            </w:r>
          </w:p>
          <w:p w:rsidR="004104DB" w:rsidRDefault="004104DB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 краткосрочный кредит банка и зачислен на расчетный счет предприятия 60000 тенге.</w:t>
            </w:r>
          </w:p>
          <w:p w:rsidR="004104DB" w:rsidRDefault="004104DB">
            <w:pPr>
              <w:widowControl w:val="0"/>
              <w:suppressAutoHyphens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9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95"/>
              <w:gridCol w:w="4818"/>
              <w:gridCol w:w="1134"/>
              <w:gridCol w:w="1487"/>
              <w:gridCol w:w="1026"/>
            </w:tblGrid>
            <w:tr w:rsidR="004104DB">
              <w:trPr>
                <w:trHeight w:val="345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 xml:space="preserve"> п/п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Содержание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операци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  <w:tc>
                <w:tcPr>
                  <w:tcW w:w="251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Корреспондирующие счета</w:t>
                  </w:r>
                </w:p>
              </w:tc>
            </w:tr>
            <w:tr w:rsidR="004104DB">
              <w:trPr>
                <w:trHeight w:val="195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Дт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Кт</w:t>
                  </w:r>
                  <w:proofErr w:type="spellEnd"/>
                </w:p>
              </w:tc>
            </w:tr>
            <w:tr w:rsidR="004104DB"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tabs>
                      <w:tab w:val="left" w:pos="39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pacing w:val="-4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pacing w:val="-4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104DB" w:rsidRDefault="004104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kk-KZ"/>
                    </w:rPr>
                    <w:t>5</w:t>
                  </w:r>
                </w:p>
              </w:tc>
            </w:tr>
          </w:tbl>
          <w:p w:rsidR="004104DB" w:rsidRDefault="004104DB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B532E" w:rsidRDefault="004104DB"/>
    <w:sectPr w:rsidR="00EB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24C1"/>
    <w:multiLevelType w:val="hybridMultilevel"/>
    <w:tmpl w:val="8520C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CAA02F5"/>
    <w:multiLevelType w:val="hybridMultilevel"/>
    <w:tmpl w:val="D4044A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A3516C"/>
    <w:multiLevelType w:val="hybridMultilevel"/>
    <w:tmpl w:val="5FB8AF86"/>
    <w:lvl w:ilvl="0" w:tplc="C1427EB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sz w:val="2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E0"/>
    <w:rsid w:val="003F7467"/>
    <w:rsid w:val="004104DB"/>
    <w:rsid w:val="005F1A45"/>
    <w:rsid w:val="007D14E0"/>
    <w:rsid w:val="00EE3241"/>
    <w:rsid w:val="00F0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DB"/>
    <w:pPr>
      <w:ind w:left="720"/>
      <w:contextualSpacing/>
    </w:pPr>
  </w:style>
  <w:style w:type="paragraph" w:customStyle="1" w:styleId="Style1">
    <w:name w:val="Style1"/>
    <w:basedOn w:val="a"/>
    <w:uiPriority w:val="99"/>
    <w:rsid w:val="004104D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4104DB"/>
    <w:pPr>
      <w:spacing w:after="0" w:line="323" w:lineRule="exact"/>
      <w:ind w:firstLine="278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WW-">
    <w:name w:val="WW-Обычный (веб)"/>
    <w:basedOn w:val="a"/>
    <w:rsid w:val="004104DB"/>
    <w:pPr>
      <w:widowControl w:val="0"/>
      <w:suppressAutoHyphens/>
      <w:spacing w:before="280" w:after="119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customStyle="1" w:styleId="FontStyle11">
    <w:name w:val="Font Style11"/>
    <w:uiPriority w:val="99"/>
    <w:rsid w:val="004104DB"/>
    <w:rPr>
      <w:rFonts w:ascii="Times New Roman" w:hAnsi="Times New Roman" w:cs="Times New Roman" w:hint="default"/>
      <w:sz w:val="28"/>
      <w:szCs w:val="28"/>
    </w:rPr>
  </w:style>
  <w:style w:type="character" w:customStyle="1" w:styleId="5">
    <w:name w:val="Основной текст5"/>
    <w:rsid w:val="004104DB"/>
    <w:rPr>
      <w:rFonts w:ascii="Times New Roman" w:hAnsi="Times New Roman" w:cs="Times New Roman" w:hint="default"/>
      <w:spacing w:val="0"/>
      <w:sz w:val="20"/>
      <w:szCs w:val="20"/>
      <w:lang w:bidi="ar-SA"/>
    </w:rPr>
  </w:style>
  <w:style w:type="character" w:customStyle="1" w:styleId="27">
    <w:name w:val="Основной текст27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29">
    <w:name w:val="Основной текст29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45">
    <w:name w:val="Основной текст45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9">
    <w:name w:val="Основной текст9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11">
    <w:name w:val="Основной текст11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table" w:styleId="a4">
    <w:name w:val="Table Grid"/>
    <w:basedOn w:val="a1"/>
    <w:rsid w:val="0041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D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4DB"/>
    <w:pPr>
      <w:ind w:left="720"/>
      <w:contextualSpacing/>
    </w:pPr>
  </w:style>
  <w:style w:type="paragraph" w:customStyle="1" w:styleId="Style1">
    <w:name w:val="Style1"/>
    <w:basedOn w:val="a"/>
    <w:uiPriority w:val="99"/>
    <w:rsid w:val="004104D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4104DB"/>
    <w:pPr>
      <w:spacing w:after="0" w:line="323" w:lineRule="exact"/>
      <w:ind w:firstLine="278"/>
    </w:pPr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WW-">
    <w:name w:val="WW-Обычный (веб)"/>
    <w:basedOn w:val="a"/>
    <w:rsid w:val="004104DB"/>
    <w:pPr>
      <w:widowControl w:val="0"/>
      <w:suppressAutoHyphens/>
      <w:spacing w:before="280" w:after="119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customStyle="1" w:styleId="FontStyle11">
    <w:name w:val="Font Style11"/>
    <w:uiPriority w:val="99"/>
    <w:rsid w:val="004104DB"/>
    <w:rPr>
      <w:rFonts w:ascii="Times New Roman" w:hAnsi="Times New Roman" w:cs="Times New Roman" w:hint="default"/>
      <w:sz w:val="28"/>
      <w:szCs w:val="28"/>
    </w:rPr>
  </w:style>
  <w:style w:type="character" w:customStyle="1" w:styleId="5">
    <w:name w:val="Основной текст5"/>
    <w:rsid w:val="004104DB"/>
    <w:rPr>
      <w:rFonts w:ascii="Times New Roman" w:hAnsi="Times New Roman" w:cs="Times New Roman" w:hint="default"/>
      <w:spacing w:val="0"/>
      <w:sz w:val="20"/>
      <w:szCs w:val="20"/>
      <w:lang w:bidi="ar-SA"/>
    </w:rPr>
  </w:style>
  <w:style w:type="character" w:customStyle="1" w:styleId="27">
    <w:name w:val="Основной текст27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29">
    <w:name w:val="Основной текст29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45">
    <w:name w:val="Основной текст45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9">
    <w:name w:val="Основной текст9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11">
    <w:name w:val="Основной текст11"/>
    <w:rsid w:val="004104DB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table" w:styleId="a4">
    <w:name w:val="Table Grid"/>
    <w:basedOn w:val="a1"/>
    <w:rsid w:val="0041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2010</Words>
  <Characters>11462</Characters>
  <Application>Microsoft Office Word</Application>
  <DocSecurity>0</DocSecurity>
  <Lines>95</Lines>
  <Paragraphs>26</Paragraphs>
  <ScaleCrop>false</ScaleCrop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</dc:creator>
  <cp:keywords/>
  <dc:description/>
  <cp:lastModifiedBy>Карлыгаш</cp:lastModifiedBy>
  <cp:revision>2</cp:revision>
  <dcterms:created xsi:type="dcterms:W3CDTF">2015-01-23T13:33:00Z</dcterms:created>
  <dcterms:modified xsi:type="dcterms:W3CDTF">2015-01-23T13:40:00Z</dcterms:modified>
</cp:coreProperties>
</file>